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5" w:rsidRDefault="00DD0245" w:rsidP="00DD0245">
      <w:pPr>
        <w:jc w:val="center"/>
        <w:rPr>
          <w:sz w:val="28"/>
          <w:szCs w:val="28"/>
          <w:lang w:val="uk-UA"/>
        </w:rPr>
      </w:pPr>
      <w:r>
        <w:rPr>
          <w:sz w:val="28"/>
          <w:szCs w:val="28"/>
          <w:lang w:val="uk-UA"/>
        </w:rPr>
        <w:t>Інформація</w:t>
      </w:r>
    </w:p>
    <w:p w:rsidR="00DD0245" w:rsidRDefault="00DD0245" w:rsidP="00DD0245">
      <w:pPr>
        <w:jc w:val="center"/>
        <w:rPr>
          <w:sz w:val="28"/>
          <w:szCs w:val="28"/>
          <w:lang w:val="uk-UA"/>
        </w:rPr>
      </w:pPr>
      <w:r>
        <w:rPr>
          <w:sz w:val="28"/>
          <w:szCs w:val="28"/>
          <w:lang w:val="uk-UA"/>
        </w:rPr>
        <w:t xml:space="preserve">про хід виконання Програми підтримки розвитку підприємництва у </w:t>
      </w:r>
      <w:r>
        <w:rPr>
          <w:sz w:val="28"/>
          <w:szCs w:val="28"/>
          <w:lang w:val="uk-UA"/>
        </w:rPr>
        <w:br/>
        <w:t>м. Харкові на 2018-2022 роки, затвердженої рішенням 16 сесії Харківської міської ради 7 скликання від 08.11.2017 № 834/17</w:t>
      </w:r>
    </w:p>
    <w:p w:rsidR="00DD0245" w:rsidRPr="001704C2" w:rsidRDefault="00DD0245" w:rsidP="00DD0245">
      <w:pPr>
        <w:jc w:val="center"/>
        <w:rPr>
          <w:b/>
          <w:sz w:val="28"/>
          <w:lang w:val="uk-UA"/>
        </w:rPr>
      </w:pPr>
      <w:r w:rsidRPr="001704C2">
        <w:rPr>
          <w:b/>
          <w:sz w:val="28"/>
          <w:lang w:val="uk-UA"/>
        </w:rPr>
        <w:t xml:space="preserve">  </w:t>
      </w:r>
    </w:p>
    <w:p w:rsidR="00056B02" w:rsidRPr="00D64596" w:rsidRDefault="00056B02" w:rsidP="00056B02">
      <w:pPr>
        <w:jc w:val="both"/>
        <w:rPr>
          <w:b/>
          <w:sz w:val="28"/>
          <w:lang w:val="uk-UA"/>
        </w:rPr>
      </w:pPr>
    </w:p>
    <w:p w:rsidR="00EE3874" w:rsidRDefault="00EE3874" w:rsidP="00EE3874">
      <w:pPr>
        <w:ind w:firstLine="708"/>
        <w:jc w:val="both"/>
        <w:rPr>
          <w:b/>
          <w:sz w:val="28"/>
          <w:szCs w:val="28"/>
          <w:lang w:val="uk-UA"/>
        </w:rPr>
      </w:pPr>
      <w:bookmarkStart w:id="0" w:name="_GoBack"/>
      <w:bookmarkEnd w:id="0"/>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w:t>
      </w:r>
      <w:r w:rsidR="00394416">
        <w:rPr>
          <w:sz w:val="28"/>
          <w:szCs w:val="28"/>
          <w:lang w:val="uk-UA"/>
        </w:rPr>
        <w:t>аркові на 2018-2022 роки (далі ‒</w:t>
      </w:r>
      <w:r>
        <w:rPr>
          <w:sz w:val="28"/>
          <w:szCs w:val="28"/>
          <w:lang w:val="uk-UA"/>
        </w:rPr>
        <w:t xml:space="preserve"> Програма).</w:t>
      </w:r>
    </w:p>
    <w:p w:rsidR="00EE3874" w:rsidRDefault="00EE3874" w:rsidP="00EE3874">
      <w:pPr>
        <w:tabs>
          <w:tab w:val="left" w:pos="567"/>
          <w:tab w:val="left" w:pos="840"/>
        </w:tabs>
        <w:ind w:firstLine="709"/>
        <w:jc w:val="both"/>
        <w:rPr>
          <w:sz w:val="28"/>
          <w:szCs w:val="28"/>
          <w:lang w:val="uk-UA"/>
        </w:rPr>
      </w:pPr>
      <w:r>
        <w:rPr>
          <w:sz w:val="28"/>
          <w:szCs w:val="28"/>
          <w:lang w:val="uk-UA"/>
        </w:rPr>
        <w:t xml:space="preserve">Основні заходи Програми спрямовані на </w:t>
      </w:r>
      <w:r w:rsidR="00B90734">
        <w:rPr>
          <w:sz w:val="28"/>
          <w:szCs w:val="28"/>
          <w:lang w:val="uk-UA"/>
        </w:rPr>
        <w:t xml:space="preserve">формування </w:t>
      </w:r>
      <w:r>
        <w:rPr>
          <w:sz w:val="28"/>
          <w:szCs w:val="28"/>
          <w:lang w:val="uk-UA"/>
        </w:rPr>
        <w:t xml:space="preserve"> сприятливих умов </w:t>
      </w:r>
      <w:r w:rsidR="00B90734">
        <w:rPr>
          <w:sz w:val="28"/>
          <w:szCs w:val="28"/>
          <w:lang w:val="uk-UA"/>
        </w:rPr>
        <w:t>для започаткування та ефективного провадження</w:t>
      </w:r>
      <w:r>
        <w:rPr>
          <w:sz w:val="28"/>
          <w:szCs w:val="28"/>
          <w:lang w:val="uk-UA"/>
        </w:rPr>
        <w:t xml:space="preserve"> підприємницької діяльності, спрощення процедури видачі документів дозвільного харак</w:t>
      </w:r>
      <w:r w:rsidR="003810EB">
        <w:rPr>
          <w:sz w:val="28"/>
          <w:szCs w:val="28"/>
          <w:lang w:val="uk-UA"/>
        </w:rPr>
        <w:t xml:space="preserve">теру суб'єктам підприємництва, </w:t>
      </w:r>
      <w:r>
        <w:rPr>
          <w:sz w:val="28"/>
          <w:szCs w:val="28"/>
          <w:lang w:val="uk-UA"/>
        </w:rPr>
        <w:t>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EE3874" w:rsidRDefault="00EE3874" w:rsidP="00541B7B">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EE3874" w:rsidRDefault="00EE3874" w:rsidP="00EE3874">
      <w:pPr>
        <w:ind w:firstLine="708"/>
        <w:jc w:val="both"/>
        <w:rPr>
          <w:sz w:val="28"/>
          <w:szCs w:val="28"/>
          <w:lang w:val="uk-UA"/>
        </w:rPr>
      </w:pPr>
      <w:r>
        <w:rPr>
          <w:sz w:val="28"/>
          <w:szCs w:val="28"/>
          <w:lang w:val="uk-UA"/>
        </w:rPr>
        <w:t>В 2020 році фінансування здійснюєть</w:t>
      </w:r>
      <w:r w:rsidR="003810EB">
        <w:rPr>
          <w:sz w:val="28"/>
          <w:szCs w:val="28"/>
          <w:lang w:val="uk-UA"/>
        </w:rPr>
        <w:t xml:space="preserve">ся на виконання таких пунктів </w:t>
      </w:r>
      <w:r>
        <w:rPr>
          <w:sz w:val="28"/>
          <w:szCs w:val="28"/>
          <w:lang w:val="uk-UA"/>
        </w:rPr>
        <w:t xml:space="preserve">Програми: </w:t>
      </w:r>
    </w:p>
    <w:p w:rsidR="00EE3874" w:rsidRDefault="00EE3874" w:rsidP="00EE3874">
      <w:pPr>
        <w:ind w:firstLine="708"/>
        <w:jc w:val="both"/>
        <w:rPr>
          <w:sz w:val="28"/>
          <w:szCs w:val="28"/>
          <w:lang w:val="uk-UA"/>
        </w:rPr>
      </w:pPr>
      <w:r>
        <w:rPr>
          <w:sz w:val="28"/>
          <w:szCs w:val="28"/>
          <w:lang w:val="uk-UA"/>
        </w:rPr>
        <w:t>- пункт 2.1.1. «Модернізація та розширення функціональних можливостей веб-сайту «Підприємництво та споживчий ринок міста Харкова» - 841 000,0 грн;</w:t>
      </w:r>
    </w:p>
    <w:p w:rsidR="00EE3874" w:rsidRDefault="00EE3874" w:rsidP="00EE3874">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 </w:t>
      </w:r>
      <w:r>
        <w:rPr>
          <w:sz w:val="28"/>
          <w:szCs w:val="28"/>
        </w:rPr>
        <w:t>348 363</w:t>
      </w:r>
      <w:r>
        <w:rPr>
          <w:sz w:val="28"/>
          <w:szCs w:val="28"/>
          <w:lang w:val="uk-UA"/>
        </w:rPr>
        <w:t>,0 грн;</w:t>
      </w:r>
    </w:p>
    <w:p w:rsidR="00EE3874" w:rsidRDefault="00EE3874" w:rsidP="00EE3874">
      <w:pPr>
        <w:ind w:firstLine="708"/>
        <w:jc w:val="both"/>
        <w:rPr>
          <w:sz w:val="28"/>
          <w:szCs w:val="28"/>
          <w:lang w:val="uk-UA"/>
        </w:rPr>
      </w:pPr>
      <w:r>
        <w:rPr>
          <w:sz w:val="28"/>
          <w:szCs w:val="28"/>
          <w:lang w:val="uk-UA"/>
        </w:rPr>
        <w:t xml:space="preserve">- пункт 2.1.3 «Створення електронного сервісу «Онлайн-консультант» - </w:t>
      </w:r>
      <w:r>
        <w:rPr>
          <w:sz w:val="28"/>
          <w:szCs w:val="28"/>
        </w:rPr>
        <w:t>421 250,0</w:t>
      </w:r>
      <w:r>
        <w:rPr>
          <w:sz w:val="28"/>
          <w:szCs w:val="28"/>
          <w:lang w:val="uk-UA"/>
        </w:rPr>
        <w:t xml:space="preserve"> грн; </w:t>
      </w:r>
    </w:p>
    <w:p w:rsidR="00EE3874" w:rsidRDefault="00EE3874" w:rsidP="00EE3874">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«Проведення тренінгів, майстер-класів з основ підприємницької діяльності» - 180 000,0 грн;</w:t>
      </w:r>
    </w:p>
    <w:p w:rsidR="00EE3874" w:rsidRDefault="00EE3874" w:rsidP="00EE3874">
      <w:pPr>
        <w:ind w:firstLine="709"/>
        <w:jc w:val="both"/>
        <w:rPr>
          <w:sz w:val="28"/>
          <w:szCs w:val="28"/>
          <w:lang w:val="uk-UA"/>
        </w:rPr>
      </w:pPr>
      <w:r>
        <w:rPr>
          <w:sz w:val="28"/>
          <w:szCs w:val="28"/>
          <w:lang w:val="uk-UA"/>
        </w:rPr>
        <w:t>- пункт 3.3.2. «Розвиток молодіжних бізнес-проєктів» - 120 000,0 грн.</w:t>
      </w:r>
      <w:r>
        <w:rPr>
          <w:b/>
          <w:sz w:val="28"/>
          <w:szCs w:val="28"/>
          <w:lang w:val="uk-UA"/>
        </w:rPr>
        <w:t xml:space="preserve">                               </w:t>
      </w:r>
    </w:p>
    <w:p w:rsidR="00EE3874" w:rsidRDefault="00EE3874" w:rsidP="00EE3874">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І півріччя 2020 року реалізовувалися такі основні заходи Програми.</w:t>
      </w:r>
    </w:p>
    <w:p w:rsidR="00EE3874" w:rsidRDefault="00EE3874" w:rsidP="00EE3874">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EE3874" w:rsidRDefault="00EE3874" w:rsidP="00EE3874">
      <w:pPr>
        <w:pStyle w:val="a8"/>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EE3874" w:rsidRDefault="00EE3874" w:rsidP="00EE3874">
      <w:pPr>
        <w:pStyle w:val="a8"/>
        <w:shd w:val="clear" w:color="auto" w:fill="FFFFFF"/>
        <w:spacing w:before="0" w:beforeAutospacing="0" w:after="0" w:afterAutospacing="0"/>
        <w:ind w:firstLine="708"/>
        <w:jc w:val="both"/>
        <w:rPr>
          <w:color w:val="000000"/>
          <w:sz w:val="28"/>
          <w:szCs w:val="28"/>
          <w:lang w:val="uk-UA"/>
        </w:rPr>
      </w:pPr>
      <w:r>
        <w:rPr>
          <w:color w:val="000000"/>
          <w:sz w:val="28"/>
          <w:szCs w:val="28"/>
          <w:lang w:val="uk-UA"/>
        </w:rPr>
        <w:lastRenderedPageBreak/>
        <w:t xml:space="preserve">На сайті вже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EE3874" w:rsidRDefault="00EE3874" w:rsidP="00EE3874">
      <w:pPr>
        <w:pStyle w:val="a8"/>
        <w:shd w:val="clear" w:color="auto" w:fill="FFFFFF"/>
        <w:spacing w:before="0" w:beforeAutospacing="0" w:after="0" w:afterAutospacing="0"/>
        <w:ind w:firstLine="708"/>
        <w:jc w:val="both"/>
        <w:rPr>
          <w:color w:val="000000"/>
          <w:sz w:val="32"/>
          <w:szCs w:val="32"/>
          <w:lang w:val="uk-UA"/>
        </w:rPr>
      </w:pPr>
      <w:r>
        <w:rPr>
          <w:color w:val="000000"/>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color w:val="000000"/>
          <w:sz w:val="32"/>
          <w:szCs w:val="32"/>
          <w:lang w:val="uk-UA"/>
        </w:rPr>
        <w:t>.</w:t>
      </w:r>
    </w:p>
    <w:p w:rsidR="00EC34AF" w:rsidRPr="00BE7833" w:rsidRDefault="00EE3874" w:rsidP="00EE3874">
      <w:pPr>
        <w:ind w:firstLine="708"/>
        <w:jc w:val="both"/>
        <w:rPr>
          <w:sz w:val="28"/>
          <w:szCs w:val="28"/>
          <w:lang w:val="uk-UA"/>
        </w:rPr>
      </w:pPr>
      <w:r w:rsidRPr="00BE7833">
        <w:rPr>
          <w:sz w:val="28"/>
          <w:szCs w:val="28"/>
          <w:lang w:val="uk-UA"/>
        </w:rPr>
        <w:t xml:space="preserve">Відповідно до пункту 2.1.1. «Модернізація та розширення функціональних можливостей веб-сайту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проводиться робота по створенню електронного сервісу  «Менторська допомога» </w:t>
      </w:r>
      <w:r w:rsidRPr="00BE7833">
        <w:rPr>
          <w:rFonts w:ascii="Cambria Math" w:hAnsi="Cambria Math" w:cs="Cambria Math"/>
          <w:sz w:val="28"/>
          <w:szCs w:val="28"/>
          <w:lang w:val="uk-UA"/>
        </w:rPr>
        <w:t>‒</w:t>
      </w:r>
      <w:r w:rsidRPr="00BE7833">
        <w:rPr>
          <w:sz w:val="28"/>
          <w:szCs w:val="28"/>
          <w:lang w:val="uk-UA"/>
        </w:rPr>
        <w:t xml:space="preserve"> сервіс</w:t>
      </w:r>
      <w:r w:rsidR="006F1524" w:rsidRPr="00BE7833">
        <w:rPr>
          <w:sz w:val="28"/>
          <w:szCs w:val="28"/>
          <w:lang w:val="uk-UA"/>
        </w:rPr>
        <w:t>у</w:t>
      </w:r>
      <w:r w:rsidRPr="00BE7833">
        <w:rPr>
          <w:sz w:val="28"/>
          <w:szCs w:val="28"/>
          <w:lang w:val="uk-UA"/>
        </w:rPr>
        <w:t xml:space="preserve">, що дозволяє підприємцю-початківцю, отримати безоплатну допомогу з вирішення бізнес-проблеми від СЕО та керівників відділів </w:t>
      </w:r>
      <w:r w:rsidR="00F87D25" w:rsidRPr="00BE7833">
        <w:rPr>
          <w:sz w:val="28"/>
          <w:szCs w:val="28"/>
          <w:lang w:val="uk-UA"/>
        </w:rPr>
        <w:t xml:space="preserve">успішних </w:t>
      </w:r>
      <w:r w:rsidRPr="00BE7833">
        <w:rPr>
          <w:sz w:val="28"/>
          <w:szCs w:val="28"/>
          <w:lang w:val="uk-UA"/>
        </w:rPr>
        <w:t>компаній в форматі: особистої зустрічі, skype - call, відповіді на почту. З одног</w:t>
      </w:r>
      <w:r w:rsidR="006F1524" w:rsidRPr="00BE7833">
        <w:rPr>
          <w:sz w:val="28"/>
          <w:szCs w:val="28"/>
          <w:lang w:val="uk-UA"/>
        </w:rPr>
        <w:t xml:space="preserve">о боку, впровадження даного </w:t>
      </w:r>
      <w:proofErr w:type="spellStart"/>
      <w:r w:rsidR="006F1524" w:rsidRPr="00BE7833">
        <w:rPr>
          <w:sz w:val="28"/>
          <w:szCs w:val="28"/>
          <w:lang w:val="uk-UA"/>
        </w:rPr>
        <w:t>проє</w:t>
      </w:r>
      <w:r w:rsidRPr="00BE7833">
        <w:rPr>
          <w:sz w:val="28"/>
          <w:szCs w:val="28"/>
          <w:lang w:val="uk-UA"/>
        </w:rPr>
        <w:t>кту</w:t>
      </w:r>
      <w:proofErr w:type="spellEnd"/>
      <w:r w:rsidRPr="00BE7833">
        <w:rPr>
          <w:sz w:val="28"/>
          <w:szCs w:val="28"/>
          <w:lang w:val="uk-UA"/>
        </w:rPr>
        <w:t xml:space="preserve"> дасть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планується за 7 напрямками: продажі, маркетинг, впровадження CRM-систем, масштабування бізнесу, digital - marketing, youtube - marketing, event - marketing. Менторами в проекті будуть особи, що займаються підприємницькою діяльністю понад 5 років та мають досвід публічних виступів. </w:t>
      </w:r>
    </w:p>
    <w:p w:rsidR="00EE3874" w:rsidRPr="00BE7833" w:rsidRDefault="00EE3874" w:rsidP="00EE3874">
      <w:pPr>
        <w:ind w:firstLine="708"/>
        <w:jc w:val="both"/>
        <w:rPr>
          <w:sz w:val="28"/>
          <w:szCs w:val="28"/>
          <w:lang w:val="uk-UA"/>
        </w:rPr>
      </w:pPr>
      <w:r w:rsidRPr="00BE7833">
        <w:rPr>
          <w:sz w:val="28"/>
          <w:szCs w:val="28"/>
          <w:lang w:val="uk-UA"/>
        </w:rPr>
        <w:t xml:space="preserve">Відповідно до пункту 2.1.3 Програми «Створення електронного сервісу «Онлайн-консультант» Департаментом адміністративних послуг та споживчого ринку спільно з Молодіжною радою при Харківському міському голові проведена робота щодо створення і запуску електронного сервісу «Онлайн-консультант», який надаватиме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будуть відсутні. </w:t>
      </w:r>
      <w:r w:rsidR="001D5084" w:rsidRPr="00BE7833">
        <w:rPr>
          <w:sz w:val="28"/>
          <w:szCs w:val="28"/>
          <w:lang w:val="uk-UA"/>
        </w:rPr>
        <w:t xml:space="preserve">Для </w:t>
      </w:r>
      <w:r w:rsidR="00F91613" w:rsidRPr="00BE7833">
        <w:rPr>
          <w:sz w:val="28"/>
          <w:szCs w:val="28"/>
          <w:lang w:val="uk-UA"/>
        </w:rPr>
        <w:t xml:space="preserve">ефективної роботи чат-боту </w:t>
      </w:r>
      <w:r w:rsidR="001D5084" w:rsidRPr="00BE7833">
        <w:rPr>
          <w:sz w:val="28"/>
          <w:szCs w:val="28"/>
          <w:lang w:val="uk-UA"/>
        </w:rPr>
        <w:t>було проведено анкетування 802 підприємців, що дозволило</w:t>
      </w:r>
      <w:r w:rsidR="00F91613" w:rsidRPr="00BE7833">
        <w:rPr>
          <w:sz w:val="28"/>
          <w:szCs w:val="28"/>
          <w:lang w:val="uk-UA"/>
        </w:rPr>
        <w:t xml:space="preserve"> визначити перелік питань та проблем, які найбільш часто виникають при відкритті та веденні бізнесу. </w:t>
      </w:r>
    </w:p>
    <w:p w:rsidR="00EE3874" w:rsidRPr="00BE7833" w:rsidRDefault="00EE3874" w:rsidP="00EE3874">
      <w:pPr>
        <w:tabs>
          <w:tab w:val="left" w:pos="72"/>
        </w:tabs>
        <w:jc w:val="both"/>
        <w:rPr>
          <w:sz w:val="28"/>
          <w:szCs w:val="28"/>
          <w:lang w:val="uk-UA"/>
        </w:rPr>
      </w:pPr>
      <w:r w:rsidRPr="00BE7833">
        <w:rPr>
          <w:sz w:val="28"/>
          <w:szCs w:val="28"/>
          <w:shd w:val="clear" w:color="auto" w:fill="FFFFFF"/>
          <w:lang w:val="uk-UA"/>
        </w:rPr>
        <w:tab/>
      </w:r>
      <w:r w:rsidRPr="00BE7833">
        <w:rPr>
          <w:sz w:val="28"/>
          <w:szCs w:val="28"/>
          <w:shd w:val="clear" w:color="auto" w:fill="FFFFFF"/>
          <w:lang w:val="uk-UA"/>
        </w:rPr>
        <w:tab/>
        <w:t>У</w:t>
      </w:r>
      <w:r w:rsidRPr="00BE7833">
        <w:rPr>
          <w:sz w:val="28"/>
          <w:szCs w:val="28"/>
          <w:lang w:val="uk-UA"/>
        </w:rPr>
        <w:t xml:space="preserve"> результаті реалізації заходів Програми, направлених на модернізацію та розширення функціональних можливостей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І півріччя 2020 року було зафіксовано 43487 відвідувачів веб-сайту, що на 11,5% більше в порівнянні з аналогічним періодом 2019 року.</w:t>
      </w:r>
    </w:p>
    <w:p w:rsidR="00EE3874" w:rsidRDefault="00EE3874" w:rsidP="00EE3874">
      <w:pPr>
        <w:tabs>
          <w:tab w:val="left" w:pos="72"/>
        </w:tabs>
        <w:jc w:val="both"/>
        <w:rPr>
          <w:sz w:val="28"/>
          <w:szCs w:val="28"/>
          <w:lang w:val="uk-UA"/>
        </w:rPr>
      </w:pPr>
      <w:r w:rsidRPr="00167D07">
        <w:rPr>
          <w:color w:val="C0504D" w:themeColor="accent2"/>
          <w:sz w:val="28"/>
          <w:szCs w:val="28"/>
          <w:lang w:val="uk-UA"/>
        </w:rPr>
        <w:tab/>
      </w:r>
      <w:r w:rsidRPr="00167D07">
        <w:rPr>
          <w:color w:val="C0504D" w:themeColor="accent2"/>
          <w:sz w:val="28"/>
          <w:szCs w:val="28"/>
          <w:lang w:val="uk-UA"/>
        </w:rPr>
        <w:tab/>
      </w:r>
      <w:r w:rsidRPr="00167D07">
        <w:rPr>
          <w:sz w:val="28"/>
          <w:szCs w:val="28"/>
          <w:lang w:val="uk-UA"/>
        </w:rPr>
        <w:t>Відповідно до пункту 1.1.1 Програми «Відстеження результативності</w:t>
      </w:r>
      <w:r>
        <w:rPr>
          <w:sz w:val="28"/>
          <w:szCs w:val="28"/>
          <w:lang w:val="uk-UA"/>
        </w:rPr>
        <w:t xml:space="preserve">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w:t>
      </w:r>
      <w:r>
        <w:rPr>
          <w:sz w:val="28"/>
          <w:szCs w:val="28"/>
          <w:lang w:val="uk-UA"/>
        </w:rPr>
        <w:lastRenderedPageBreak/>
        <w:t>ринку розроблено План-графік виконання заходів з відстеження результативності регуляторних актів виконавчими органами Харківської міської ради. За  І півріччя 2020 року опубліковано в офіційних засобах масової інформації 6 проєктів регуляторних актів та аналізів регуляторного впливу до них. Оприлюднені 7 звітів з відстеження результативності регуляторних актів.</w:t>
      </w:r>
    </w:p>
    <w:p w:rsidR="00EE3874" w:rsidRDefault="00EE3874" w:rsidP="00EE3874">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w:t>
      </w:r>
    </w:p>
    <w:p w:rsidR="00EE3874" w:rsidRDefault="00EE3874" w:rsidP="00EE3874">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EE3874" w:rsidRDefault="00EE3874" w:rsidP="00EE3874">
      <w:pPr>
        <w:ind w:firstLine="709"/>
        <w:jc w:val="both"/>
        <w:rPr>
          <w:sz w:val="28"/>
          <w:szCs w:val="28"/>
          <w:lang w:val="uk-UA"/>
        </w:rPr>
      </w:pPr>
      <w:r>
        <w:rPr>
          <w:sz w:val="28"/>
          <w:szCs w:val="28"/>
          <w:lang w:val="uk-UA"/>
        </w:rPr>
        <w:t xml:space="preserve">Протягом І півріччя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EE3874" w:rsidRDefault="00EE3874" w:rsidP="00EE3874">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5 осіб, з них 1 особа у віці до 35 років. </w:t>
      </w:r>
    </w:p>
    <w:p w:rsidR="00EE3874" w:rsidRDefault="00EE3874" w:rsidP="00EE3874">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998 особам, проведено 24 групових заходів, в яких взяли участь 235 осіб.</w:t>
      </w:r>
    </w:p>
    <w:p w:rsidR="002535B2" w:rsidRPr="00523677" w:rsidRDefault="002535B2" w:rsidP="00BE7833">
      <w:pPr>
        <w:ind w:firstLine="709"/>
        <w:jc w:val="both"/>
        <w:rPr>
          <w:sz w:val="28"/>
          <w:szCs w:val="28"/>
          <w:lang w:val="uk-UA"/>
        </w:rPr>
      </w:pPr>
      <w:r w:rsidRPr="00523677">
        <w:rPr>
          <w:sz w:val="28"/>
          <w:szCs w:val="28"/>
          <w:lang w:val="uk-UA"/>
        </w:rPr>
        <w:t xml:space="preserve">Відповідно до пункту 3.3.1. Програми «Проведення тренінгів, майстер-класів з основ підприємницької діяльності» Департаментом адміністративних послуг та споживчого ринку спільно з Молодіжною радою при Харківському міському голові було організовано 5 майстер-класів в режимі </w:t>
      </w:r>
      <w:proofErr w:type="spellStart"/>
      <w:r w:rsidRPr="00523677">
        <w:rPr>
          <w:sz w:val="28"/>
          <w:szCs w:val="28"/>
          <w:lang w:val="uk-UA"/>
        </w:rPr>
        <w:t>онлайн</w:t>
      </w:r>
      <w:proofErr w:type="spellEnd"/>
      <w:r w:rsidRPr="00523677">
        <w:rPr>
          <w:sz w:val="28"/>
          <w:szCs w:val="28"/>
          <w:lang w:val="uk-UA"/>
        </w:rPr>
        <w:t xml:space="preserve">  для підприємців-початківців за такими напрямками маркетингу:</w:t>
      </w:r>
      <w:r w:rsidRPr="00523677">
        <w:rPr>
          <w:lang w:val="uk-UA"/>
        </w:rPr>
        <w:t xml:space="preserve"> </w:t>
      </w:r>
      <w:r w:rsidR="00D41F5E" w:rsidRPr="00523677">
        <w:rPr>
          <w:lang w:val="uk-UA"/>
        </w:rPr>
        <w:t>«</w:t>
      </w:r>
      <w:r w:rsidRPr="00523677">
        <w:rPr>
          <w:sz w:val="28"/>
          <w:szCs w:val="28"/>
          <w:lang w:val="uk-UA"/>
        </w:rPr>
        <w:t>Аналітика (ринку і аудиторії) + Стратегія</w:t>
      </w:r>
      <w:r w:rsidR="00D41F5E" w:rsidRPr="00523677">
        <w:rPr>
          <w:sz w:val="28"/>
          <w:szCs w:val="28"/>
          <w:lang w:val="uk-UA"/>
        </w:rPr>
        <w:t>»</w:t>
      </w:r>
      <w:r w:rsidRPr="00523677">
        <w:rPr>
          <w:sz w:val="28"/>
          <w:szCs w:val="28"/>
          <w:lang w:val="uk-UA"/>
        </w:rPr>
        <w:t>;</w:t>
      </w:r>
      <w:r w:rsidRPr="00523677">
        <w:rPr>
          <w:lang w:val="uk-UA"/>
        </w:rPr>
        <w:t xml:space="preserve">  </w:t>
      </w:r>
      <w:r w:rsidR="00D41F5E" w:rsidRPr="00523677">
        <w:rPr>
          <w:lang w:val="uk-UA"/>
        </w:rPr>
        <w:t>«</w:t>
      </w:r>
      <w:r w:rsidRPr="00523677">
        <w:rPr>
          <w:sz w:val="28"/>
          <w:szCs w:val="28"/>
          <w:lang w:val="uk-UA"/>
        </w:rPr>
        <w:t>Можливості Інтернет маркетингу для бізнесу</w:t>
      </w:r>
      <w:r w:rsidR="00D41F5E" w:rsidRPr="00523677">
        <w:rPr>
          <w:sz w:val="28"/>
          <w:szCs w:val="28"/>
          <w:lang w:val="uk-UA"/>
        </w:rPr>
        <w:t>»</w:t>
      </w:r>
      <w:r w:rsidRPr="00523677">
        <w:rPr>
          <w:sz w:val="28"/>
          <w:szCs w:val="28"/>
          <w:lang w:val="uk-UA"/>
        </w:rPr>
        <w:t>;</w:t>
      </w:r>
      <w:r w:rsidRPr="00523677">
        <w:rPr>
          <w:lang w:val="uk-UA"/>
        </w:rPr>
        <w:t xml:space="preserve"> </w:t>
      </w:r>
      <w:r w:rsidR="00D41F5E" w:rsidRPr="00523677">
        <w:rPr>
          <w:lang w:val="uk-UA"/>
        </w:rPr>
        <w:t>«</w:t>
      </w:r>
      <w:r w:rsidR="00EA732A" w:rsidRPr="00523677">
        <w:rPr>
          <w:sz w:val="28"/>
          <w:szCs w:val="28"/>
          <w:lang w:val="uk-UA"/>
        </w:rPr>
        <w:t>П</w:t>
      </w:r>
      <w:r w:rsidRPr="00523677">
        <w:rPr>
          <w:sz w:val="28"/>
          <w:szCs w:val="28"/>
          <w:lang w:val="uk-UA"/>
        </w:rPr>
        <w:t>росуванн</w:t>
      </w:r>
      <w:r w:rsidR="00EA732A" w:rsidRPr="00523677">
        <w:rPr>
          <w:sz w:val="28"/>
          <w:szCs w:val="28"/>
          <w:lang w:val="uk-UA"/>
        </w:rPr>
        <w:t xml:space="preserve">я бізнесу в </w:t>
      </w:r>
      <w:proofErr w:type="spellStart"/>
      <w:r w:rsidR="00EA732A" w:rsidRPr="00523677">
        <w:rPr>
          <w:sz w:val="28"/>
          <w:szCs w:val="28"/>
          <w:lang w:val="uk-UA"/>
        </w:rPr>
        <w:t>instagram</w:t>
      </w:r>
      <w:proofErr w:type="spellEnd"/>
      <w:r w:rsidR="00EA732A" w:rsidRPr="00523677">
        <w:rPr>
          <w:sz w:val="28"/>
          <w:szCs w:val="28"/>
          <w:lang w:val="uk-UA"/>
        </w:rPr>
        <w:t xml:space="preserve">, </w:t>
      </w:r>
      <w:proofErr w:type="spellStart"/>
      <w:r w:rsidR="00EA732A" w:rsidRPr="00523677">
        <w:rPr>
          <w:sz w:val="28"/>
          <w:szCs w:val="28"/>
          <w:lang w:val="uk-UA"/>
        </w:rPr>
        <w:t>facebook</w:t>
      </w:r>
      <w:proofErr w:type="spellEnd"/>
      <w:r w:rsidR="00EA732A" w:rsidRPr="00523677">
        <w:rPr>
          <w:sz w:val="28"/>
          <w:szCs w:val="28"/>
          <w:lang w:val="uk-UA"/>
        </w:rPr>
        <w:t xml:space="preserve"> та</w:t>
      </w:r>
      <w:r w:rsidRPr="00523677">
        <w:rPr>
          <w:sz w:val="28"/>
          <w:szCs w:val="28"/>
          <w:lang w:val="uk-UA"/>
        </w:rPr>
        <w:t xml:space="preserve"> інших соціальних мережах</w:t>
      </w:r>
      <w:r w:rsidR="00D41F5E" w:rsidRPr="00523677">
        <w:rPr>
          <w:sz w:val="28"/>
          <w:szCs w:val="28"/>
          <w:lang w:val="uk-UA"/>
        </w:rPr>
        <w:t>»</w:t>
      </w:r>
      <w:r w:rsidR="00EA732A" w:rsidRPr="00523677">
        <w:rPr>
          <w:sz w:val="28"/>
          <w:szCs w:val="28"/>
          <w:lang w:val="uk-UA"/>
        </w:rPr>
        <w:t>;</w:t>
      </w:r>
      <w:r w:rsidR="00EA732A" w:rsidRPr="00523677">
        <w:rPr>
          <w:lang w:val="uk-UA"/>
        </w:rPr>
        <w:t xml:space="preserve"> </w:t>
      </w:r>
      <w:r w:rsidR="00D41F5E" w:rsidRPr="00523677">
        <w:rPr>
          <w:lang w:val="uk-UA"/>
        </w:rPr>
        <w:t>«</w:t>
      </w:r>
      <w:r w:rsidR="00EA732A" w:rsidRPr="00523677">
        <w:rPr>
          <w:sz w:val="28"/>
          <w:szCs w:val="28"/>
          <w:lang w:val="uk-UA"/>
        </w:rPr>
        <w:t xml:space="preserve">Робота з контентом і </w:t>
      </w:r>
      <w:proofErr w:type="spellStart"/>
      <w:r w:rsidR="00EA732A" w:rsidRPr="00523677">
        <w:rPr>
          <w:sz w:val="28"/>
          <w:szCs w:val="28"/>
          <w:lang w:val="uk-UA"/>
        </w:rPr>
        <w:t>блогерами</w:t>
      </w:r>
      <w:proofErr w:type="spellEnd"/>
      <w:r w:rsidR="00D41F5E" w:rsidRPr="00523677">
        <w:rPr>
          <w:sz w:val="28"/>
          <w:szCs w:val="28"/>
          <w:lang w:val="uk-UA"/>
        </w:rPr>
        <w:t>»</w:t>
      </w:r>
      <w:r w:rsidR="00EA732A" w:rsidRPr="00523677">
        <w:rPr>
          <w:sz w:val="28"/>
          <w:szCs w:val="28"/>
          <w:lang w:val="uk-UA"/>
        </w:rPr>
        <w:t>;</w:t>
      </w:r>
      <w:r w:rsidR="00EA732A" w:rsidRPr="00523677">
        <w:rPr>
          <w:lang w:val="uk-UA"/>
        </w:rPr>
        <w:t xml:space="preserve"> </w:t>
      </w:r>
      <w:r w:rsidR="00D41F5E" w:rsidRPr="00523677">
        <w:rPr>
          <w:lang w:val="uk-UA"/>
        </w:rPr>
        <w:t>«</w:t>
      </w:r>
      <w:r w:rsidR="00EA732A" w:rsidRPr="00523677">
        <w:rPr>
          <w:sz w:val="28"/>
          <w:szCs w:val="28"/>
          <w:lang w:val="uk-UA"/>
        </w:rPr>
        <w:t>Аналітика ефективності і поліпшення показників</w:t>
      </w:r>
      <w:r w:rsidR="00D41F5E" w:rsidRPr="00523677">
        <w:rPr>
          <w:sz w:val="28"/>
          <w:szCs w:val="28"/>
          <w:lang w:val="uk-UA"/>
        </w:rPr>
        <w:t>»</w:t>
      </w:r>
      <w:r w:rsidR="00EA732A" w:rsidRPr="00523677">
        <w:rPr>
          <w:sz w:val="28"/>
          <w:szCs w:val="28"/>
          <w:lang w:val="uk-UA"/>
        </w:rPr>
        <w:t xml:space="preserve">. </w:t>
      </w:r>
      <w:r w:rsidR="00031C49" w:rsidRPr="00523677">
        <w:rPr>
          <w:sz w:val="28"/>
          <w:szCs w:val="28"/>
          <w:lang w:val="uk-UA"/>
        </w:rPr>
        <w:t>Майже 200 підприємців</w:t>
      </w:r>
      <w:r w:rsidR="007A2D2A" w:rsidRPr="00523677">
        <w:rPr>
          <w:sz w:val="28"/>
          <w:szCs w:val="28"/>
          <w:lang w:val="uk-UA"/>
        </w:rPr>
        <w:t xml:space="preserve"> міста Харкова</w:t>
      </w:r>
      <w:r w:rsidR="00031C49" w:rsidRPr="00523677">
        <w:rPr>
          <w:sz w:val="28"/>
          <w:szCs w:val="28"/>
          <w:lang w:val="uk-UA"/>
        </w:rPr>
        <w:t>, які зацікавлені у відкритті та розширенні власного бізнесу</w:t>
      </w:r>
      <w:r w:rsidR="007A2D2A" w:rsidRPr="00523677">
        <w:rPr>
          <w:sz w:val="28"/>
          <w:szCs w:val="28"/>
          <w:lang w:val="uk-UA"/>
        </w:rPr>
        <w:t>,</w:t>
      </w:r>
      <w:r w:rsidR="00031C49" w:rsidRPr="00523677">
        <w:rPr>
          <w:sz w:val="28"/>
          <w:szCs w:val="28"/>
          <w:lang w:val="uk-UA"/>
        </w:rPr>
        <w:t xml:space="preserve"> прийняли участь у зазначених майстер-класах. </w:t>
      </w:r>
      <w:r w:rsidR="007A2D2A" w:rsidRPr="00523677">
        <w:rPr>
          <w:sz w:val="28"/>
          <w:szCs w:val="28"/>
          <w:lang w:val="uk-UA"/>
        </w:rPr>
        <w:t>Тренінги та майстер-класи для підприємців міста будуть проводитися щомісячно до кінця року.</w:t>
      </w:r>
    </w:p>
    <w:p w:rsidR="00EE3874" w:rsidRDefault="00EE3874" w:rsidP="00EE3874">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EE3874" w:rsidRDefault="00EE3874" w:rsidP="00EE3874">
      <w:pPr>
        <w:ind w:firstLine="708"/>
        <w:jc w:val="both"/>
        <w:rPr>
          <w:sz w:val="28"/>
          <w:szCs w:val="28"/>
          <w:lang w:val="uk-UA"/>
        </w:rPr>
      </w:pPr>
      <w:r>
        <w:rPr>
          <w:sz w:val="28"/>
          <w:szCs w:val="28"/>
          <w:lang w:val="uk-UA"/>
        </w:rPr>
        <w:lastRenderedPageBreak/>
        <w:t xml:space="preserve">Всього за І півріччя 2020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34104 звернення суб’єктів підприємницької діяльності. </w:t>
      </w:r>
      <w:r w:rsidRPr="00443A32">
        <w:rPr>
          <w:sz w:val="28"/>
          <w:szCs w:val="28"/>
          <w:lang w:val="uk-UA"/>
        </w:rPr>
        <w:t>Видано 8221 документ дозвільного характеру, що на 12,1% менше ніж кількість виданих документів дозвільного характеру за І півріччя 2019 року. Кі</w:t>
      </w:r>
      <w:r>
        <w:rPr>
          <w:sz w:val="28"/>
          <w:szCs w:val="28"/>
          <w:lang w:val="uk-UA"/>
        </w:rPr>
        <w:t>лькість зареєстрованих декларацій за І півріччя  2020 року склала 984 од., що становить 90,3% до зареєстрованих декларацій в</w:t>
      </w:r>
      <w:r>
        <w:rPr>
          <w:sz w:val="28"/>
          <w:szCs w:val="28"/>
          <w:lang w:val="uk-UA"/>
        </w:rPr>
        <w:br/>
        <w:t>І півріччі 2019 року.</w:t>
      </w:r>
    </w:p>
    <w:p w:rsidR="00EE3874" w:rsidRDefault="00EE3874" w:rsidP="00EE3874">
      <w:pPr>
        <w:ind w:firstLine="708"/>
        <w:jc w:val="both"/>
        <w:rPr>
          <w:sz w:val="28"/>
          <w:szCs w:val="28"/>
          <w:lang w:val="uk-UA"/>
        </w:rPr>
      </w:pPr>
      <w:r>
        <w:rPr>
          <w:sz w:val="28"/>
          <w:szCs w:val="28"/>
          <w:lang w:val="uk-UA"/>
        </w:rPr>
        <w:t xml:space="preserve">Крім того, до Центру зафіксовано 30119 звернень з питань реєстрації бізнесу, що становить 6,2% від загальної кількості звернень до ЦНАП                      м. Харкова та його територіальних підрозділів. З них 25521 звернення від фізичних осіб - підприємців, 3311 звернень від юридичних осіб, </w:t>
      </w:r>
      <w:r>
        <w:rPr>
          <w:sz w:val="28"/>
          <w:szCs w:val="28"/>
          <w:lang w:val="uk-UA"/>
        </w:rPr>
        <w:br/>
        <w:t>1287 звернень щодо отримання витягу з Єдиного державного реєстру юридичних осіб, фізичних осіб-підприємців та громадських формувань, а також 72 звернення стосовно реєстраційних дій громадських формувань.</w:t>
      </w:r>
    </w:p>
    <w:p w:rsidR="00EE3874" w:rsidRDefault="00EE3874" w:rsidP="00EE3874">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7852 (26,1%), з них 80,2%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15,8% − звернення юридичних осіб, 4,0%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EE3874" w:rsidRDefault="00EE3874" w:rsidP="00EE3874">
      <w:pPr>
        <w:ind w:firstLine="851"/>
        <w:jc w:val="both"/>
        <w:rPr>
          <w:sz w:val="28"/>
          <w:szCs w:val="28"/>
          <w:lang w:val="uk-UA"/>
        </w:rPr>
      </w:pPr>
      <w:r>
        <w:rPr>
          <w:sz w:val="28"/>
          <w:szCs w:val="28"/>
          <w:lang w:val="uk-UA"/>
        </w:rPr>
        <w:t>За напрямками звернень до Регіонального центру послуг варто виділити:</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фізичних осіб підприємцями –              2407звернень (10,9%);</w:t>
      </w:r>
    </w:p>
    <w:p w:rsidR="00EE3874" w:rsidRDefault="00EE3874" w:rsidP="00EE3874">
      <w:pPr>
        <w:pStyle w:val="2"/>
        <w:numPr>
          <w:ilvl w:val="0"/>
          <w:numId w:val="42"/>
        </w:numPr>
        <w:ind w:left="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1884 звернення (24,0%); </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змін до відомостей про юридичну особу – 854 звернення (9,6%);</w:t>
      </w:r>
    </w:p>
    <w:p w:rsidR="00EE3874" w:rsidRDefault="00EE3874" w:rsidP="00EE3874">
      <w:pPr>
        <w:pStyle w:val="2"/>
        <w:numPr>
          <w:ilvl w:val="0"/>
          <w:numId w:val="42"/>
        </w:numPr>
        <w:ind w:left="0"/>
        <w:jc w:val="both"/>
        <w:rPr>
          <w:sz w:val="28"/>
          <w:szCs w:val="28"/>
          <w:lang w:val="uk-UA"/>
        </w:rPr>
      </w:pPr>
      <w:r>
        <w:rPr>
          <w:sz w:val="28"/>
          <w:szCs w:val="28"/>
          <w:lang w:val="uk-UA"/>
        </w:rPr>
        <w:t>з питань реєстрації змін до відомостей про фізичну особу – підприємця – 1974 звернення (25,1%);</w:t>
      </w:r>
    </w:p>
    <w:p w:rsidR="00EE3874" w:rsidRDefault="00EE3874" w:rsidP="00EE3874">
      <w:pPr>
        <w:pStyle w:val="2"/>
        <w:numPr>
          <w:ilvl w:val="0"/>
          <w:numId w:val="42"/>
        </w:numPr>
        <w:ind w:left="0"/>
        <w:jc w:val="both"/>
        <w:rPr>
          <w:sz w:val="28"/>
          <w:szCs w:val="28"/>
          <w:lang w:val="uk-UA"/>
        </w:rPr>
      </w:pPr>
      <w:r>
        <w:rPr>
          <w:sz w:val="28"/>
          <w:szCs w:val="28"/>
          <w:lang w:val="uk-UA"/>
        </w:rPr>
        <w:t>з питань видачі витягу – 312 звернень (3,1%);</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юридичної особи (крім громадських формувань) – 243 звернення (3,1%).</w:t>
      </w:r>
    </w:p>
    <w:p w:rsidR="00EE3874" w:rsidRDefault="00EE3874" w:rsidP="00EE3874">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EE3874" w:rsidRDefault="00EE3874" w:rsidP="00EE3874">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EE3874" w:rsidRDefault="00EE3874" w:rsidP="00392127">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sidR="00392127">
        <w:rPr>
          <w:b/>
          <w:i/>
          <w:lang w:val="uk-UA"/>
        </w:rPr>
        <w:t xml:space="preserve">статистична звітність річна, </w:t>
      </w:r>
      <w:r>
        <w:rPr>
          <w:b/>
          <w:i/>
          <w:lang w:val="uk-UA"/>
        </w:rPr>
        <w:t>інформація за 2019 рік попередня, остаточна інформація буде опуб</w:t>
      </w:r>
      <w:r w:rsidR="00392127">
        <w:rPr>
          <w:b/>
          <w:i/>
          <w:lang w:val="uk-UA"/>
        </w:rPr>
        <w:t>лікована в листопаді 2020 року</w:t>
      </w:r>
      <w:r>
        <w:rPr>
          <w:b/>
          <w:i/>
          <w:lang w:val="uk-UA"/>
        </w:rPr>
        <w:t xml:space="preserve">) </w:t>
      </w:r>
      <w:r>
        <w:rPr>
          <w:sz w:val="28"/>
          <w:szCs w:val="28"/>
          <w:lang w:val="uk-UA"/>
        </w:rPr>
        <w:t xml:space="preserve">в місті здійснювали діяльність 19410 великих, малих і середніх підприємств, що становить 77,5% </w:t>
      </w:r>
      <w:r>
        <w:rPr>
          <w:sz w:val="28"/>
          <w:szCs w:val="28"/>
          <w:lang w:val="uk-UA"/>
        </w:rPr>
        <w:lastRenderedPageBreak/>
        <w:t>від загальної кількості підприємств області і на 1087 підприємств або 5,9% більше в порівнянні з 2018 роком.</w:t>
      </w:r>
    </w:p>
    <w:p w:rsidR="00EE3874" w:rsidRDefault="00AE7CD3" w:rsidP="00EE3874">
      <w:pPr>
        <w:ind w:firstLine="709"/>
        <w:jc w:val="both"/>
        <w:rPr>
          <w:sz w:val="28"/>
          <w:szCs w:val="28"/>
          <w:lang w:val="uk-UA"/>
        </w:rPr>
      </w:pPr>
      <w:r>
        <w:rPr>
          <w:sz w:val="28"/>
          <w:szCs w:val="28"/>
          <w:lang w:val="uk-UA"/>
        </w:rPr>
        <w:t xml:space="preserve">В структурі підприємств співвідношення великих, середніх і малих підприємств практично не змінилось. </w:t>
      </w:r>
      <w:r w:rsidR="00EE3874">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sidR="00EE3874">
        <w:rPr>
          <w:rFonts w:ascii="Cambria Math" w:hAnsi="Cambria Math" w:cs="Cambria Math"/>
          <w:sz w:val="28"/>
          <w:szCs w:val="28"/>
          <w:lang w:val="uk-UA"/>
        </w:rPr>
        <w:t>‒</w:t>
      </w:r>
      <w:r w:rsidR="00EE3874">
        <w:rPr>
          <w:sz w:val="28"/>
          <w:szCs w:val="28"/>
          <w:lang w:val="uk-UA"/>
        </w:rPr>
        <w:t xml:space="preserve">  малі та мікропідприємства (95,6% від загальної кількості підприємств).</w:t>
      </w:r>
    </w:p>
    <w:p w:rsidR="00EE3874" w:rsidRDefault="00EE3874" w:rsidP="00EE3874">
      <w:pPr>
        <w:ind w:firstLine="709"/>
        <w:jc w:val="both"/>
        <w:rPr>
          <w:color w:val="993300"/>
          <w:sz w:val="28"/>
          <w:szCs w:val="28"/>
          <w:lang w:val="uk-UA"/>
        </w:rPr>
      </w:pPr>
      <w:r>
        <w:rPr>
          <w:sz w:val="28"/>
          <w:szCs w:val="28"/>
          <w:lang w:val="uk-UA"/>
        </w:rPr>
        <w:t>У розрахунку на 10 тис. осіб населення кількість малих підприємств становила 128 одиниць</w:t>
      </w:r>
      <w:r>
        <w:rPr>
          <w:color w:val="993300"/>
          <w:sz w:val="28"/>
          <w:szCs w:val="28"/>
          <w:lang w:val="uk-UA"/>
        </w:rPr>
        <w:t>.</w:t>
      </w:r>
    </w:p>
    <w:p w:rsidR="00EE3874" w:rsidRDefault="00EE3874" w:rsidP="00EE3874">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285639 осіб, що на 11320 осіб більше, ніж у 2018 році.</w:t>
      </w:r>
    </w:p>
    <w:p w:rsidR="00EE3874" w:rsidRDefault="00EE3874" w:rsidP="00EE3874">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259799,2 млн грн, що становить 68,7% від загального обсягу реалізованої продукції по Харківській області.</w:t>
      </w:r>
    </w:p>
    <w:p w:rsidR="00A47A3C" w:rsidRDefault="00EE3874" w:rsidP="00A47A3C">
      <w:pPr>
        <w:pStyle w:val="a8"/>
        <w:tabs>
          <w:tab w:val="left" w:pos="709"/>
        </w:tabs>
        <w:spacing w:before="0" w:beforeAutospacing="0" w:after="0" w:afterAutospacing="0"/>
        <w:jc w:val="both"/>
        <w:rPr>
          <w:sz w:val="28"/>
          <w:szCs w:val="28"/>
          <w:lang w:val="uk-UA"/>
        </w:rPr>
      </w:pPr>
      <w:r>
        <w:rPr>
          <w:sz w:val="28"/>
          <w:szCs w:val="28"/>
          <w:lang w:val="uk-UA"/>
        </w:rPr>
        <w:tab/>
        <w:t>За даними Головного управління ДПС у Харківській області станом на 01.07.2020 на обліку в територіальних органах ДПС м. Харкова значилось 114978 фізичних осіб-підприємців.</w:t>
      </w:r>
      <w:r>
        <w:rPr>
          <w:color w:val="993300"/>
          <w:sz w:val="28"/>
          <w:szCs w:val="28"/>
          <w:lang w:val="uk-UA"/>
        </w:rPr>
        <w:t xml:space="preserve"> </w:t>
      </w:r>
      <w:r w:rsidR="00A47A3C">
        <w:rPr>
          <w:sz w:val="28"/>
          <w:szCs w:val="28"/>
          <w:lang w:val="uk-UA"/>
        </w:rPr>
        <w:t>У фізичних осіб-підприємців працювало 47009 найманих працівників.</w:t>
      </w:r>
    </w:p>
    <w:p w:rsidR="00EE3874" w:rsidRDefault="00EE3874" w:rsidP="00EE3874">
      <w:pPr>
        <w:jc w:val="both"/>
        <w:rPr>
          <w:sz w:val="28"/>
          <w:szCs w:val="28"/>
          <w:lang w:val="uk-UA"/>
        </w:rPr>
      </w:pPr>
      <w:r>
        <w:rPr>
          <w:sz w:val="28"/>
          <w:szCs w:val="28"/>
          <w:lang w:val="uk-UA"/>
        </w:rPr>
        <w:tab/>
        <w:t>За видами економічної діяльності найбільша кількість під</w:t>
      </w:r>
      <w:r w:rsidR="00392127">
        <w:rPr>
          <w:sz w:val="28"/>
          <w:szCs w:val="28"/>
          <w:lang w:val="uk-UA"/>
        </w:rPr>
        <w:t xml:space="preserve">приємств зосереджена у сферах </w:t>
      </w:r>
      <w:r>
        <w:rPr>
          <w:sz w:val="28"/>
          <w:szCs w:val="28"/>
          <w:lang w:val="uk-UA"/>
        </w:rPr>
        <w:t>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5209BE" w:rsidRDefault="005209BE" w:rsidP="00EE3874">
      <w:pPr>
        <w:jc w:val="both"/>
        <w:rPr>
          <w:sz w:val="28"/>
          <w:szCs w:val="28"/>
          <w:lang w:val="uk-UA"/>
        </w:rPr>
      </w:pPr>
    </w:p>
    <w:p w:rsidR="005209BE" w:rsidRDefault="005209BE" w:rsidP="00EE3874">
      <w:pPr>
        <w:jc w:val="both"/>
        <w:rPr>
          <w:sz w:val="28"/>
          <w:szCs w:val="28"/>
          <w:lang w:val="uk-UA"/>
        </w:rPr>
      </w:pPr>
    </w:p>
    <w:p w:rsidR="005209BE" w:rsidRDefault="005209BE" w:rsidP="00EE3874">
      <w:pPr>
        <w:jc w:val="both"/>
        <w:rPr>
          <w:sz w:val="28"/>
          <w:szCs w:val="28"/>
          <w:lang w:val="uk-UA"/>
        </w:rPr>
      </w:pPr>
    </w:p>
    <w:sectPr w:rsidR="005209BE" w:rsidSect="00530329">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1E" w:rsidRDefault="00411B1E" w:rsidP="006656EF">
      <w:r>
        <w:separator/>
      </w:r>
    </w:p>
  </w:endnote>
  <w:endnote w:type="continuationSeparator" w:id="0">
    <w:p w:rsidR="00411B1E" w:rsidRDefault="00411B1E" w:rsidP="0066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AD" w:rsidRDefault="00A93DA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AD" w:rsidRDefault="00A93DA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AD" w:rsidRDefault="00A93DA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1E" w:rsidRDefault="00411B1E" w:rsidP="006656EF">
      <w:r>
        <w:separator/>
      </w:r>
    </w:p>
  </w:footnote>
  <w:footnote w:type="continuationSeparator" w:id="0">
    <w:p w:rsidR="00411B1E" w:rsidRDefault="00411B1E" w:rsidP="0066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AD" w:rsidRDefault="00A93DA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1989"/>
      <w:docPartObj>
        <w:docPartGallery w:val="Page Numbers (Top of Page)"/>
        <w:docPartUnique/>
      </w:docPartObj>
    </w:sdtPr>
    <w:sdtContent>
      <w:p w:rsidR="00A93DAD" w:rsidRDefault="00F01DCE" w:rsidP="00A93DAD">
        <w:pPr>
          <w:pStyle w:val="a9"/>
          <w:jc w:val="center"/>
        </w:pPr>
        <w:fldSimple w:instr=" PAGE   \* MERGEFORMAT ">
          <w:r w:rsidR="00670AC6">
            <w:rPr>
              <w:noProof/>
            </w:rPr>
            <w:t>4</w:t>
          </w:r>
        </w:fldSimple>
      </w:p>
    </w:sdtContent>
  </w:sdt>
  <w:p w:rsidR="00932F1E" w:rsidRDefault="00932F1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AD" w:rsidRDefault="00A93D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99197E"/>
    <w:multiLevelType w:val="hybridMultilevel"/>
    <w:tmpl w:val="45343E4A"/>
    <w:lvl w:ilvl="0" w:tplc="0D9EAF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A26007A"/>
    <w:multiLevelType w:val="hybridMultilevel"/>
    <w:tmpl w:val="F91C6E40"/>
    <w:lvl w:ilvl="0" w:tplc="AB3E036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AE6DCF"/>
    <w:multiLevelType w:val="hybridMultilevel"/>
    <w:tmpl w:val="CC5471D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72F9A"/>
    <w:multiLevelType w:val="hybridMultilevel"/>
    <w:tmpl w:val="A7980F5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F4802"/>
    <w:multiLevelType w:val="hybridMultilevel"/>
    <w:tmpl w:val="7F0C53E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CC3A6C"/>
    <w:multiLevelType w:val="hybridMultilevel"/>
    <w:tmpl w:val="EC9A888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2634D"/>
    <w:multiLevelType w:val="hybridMultilevel"/>
    <w:tmpl w:val="8ACC357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12">
    <w:nsid w:val="27A93A48"/>
    <w:multiLevelType w:val="hybridMultilevel"/>
    <w:tmpl w:val="542A3D8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B4A8B"/>
    <w:multiLevelType w:val="hybridMultilevel"/>
    <w:tmpl w:val="0FF449F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820040"/>
    <w:multiLevelType w:val="hybridMultilevel"/>
    <w:tmpl w:val="9080EEB8"/>
    <w:lvl w:ilvl="0" w:tplc="D2DCF63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134AA"/>
    <w:multiLevelType w:val="hybridMultilevel"/>
    <w:tmpl w:val="5438824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81C5528"/>
    <w:multiLevelType w:val="hybridMultilevel"/>
    <w:tmpl w:val="40E0652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AA514B5"/>
    <w:multiLevelType w:val="hybridMultilevel"/>
    <w:tmpl w:val="34C039E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C231CF"/>
    <w:multiLevelType w:val="hybridMultilevel"/>
    <w:tmpl w:val="3FE8327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EA37A5"/>
    <w:multiLevelType w:val="hybridMultilevel"/>
    <w:tmpl w:val="090E9FB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E33CD1"/>
    <w:multiLevelType w:val="hybridMultilevel"/>
    <w:tmpl w:val="B226F8C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AA25E04"/>
    <w:multiLevelType w:val="hybridMultilevel"/>
    <w:tmpl w:val="0C4E4BA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232677"/>
    <w:multiLevelType w:val="hybridMultilevel"/>
    <w:tmpl w:val="CD8C19F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D77FF3"/>
    <w:multiLevelType w:val="hybridMultilevel"/>
    <w:tmpl w:val="A38C9E0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33"/>
  </w:num>
  <w:num w:numId="26">
    <w:abstractNumId w:val="25"/>
  </w:num>
  <w:num w:numId="27">
    <w:abstractNumId w:val="18"/>
  </w:num>
  <w:num w:numId="28">
    <w:abstractNumId w:val="10"/>
  </w:num>
  <w:num w:numId="29">
    <w:abstractNumId w:val="17"/>
  </w:num>
  <w:num w:numId="30">
    <w:abstractNumId w:val="30"/>
  </w:num>
  <w:num w:numId="31">
    <w:abstractNumId w:val="4"/>
  </w:num>
  <w:num w:numId="32">
    <w:abstractNumId w:val="26"/>
  </w:num>
  <w:num w:numId="33">
    <w:abstractNumId w:val="3"/>
  </w:num>
  <w:num w:numId="34">
    <w:abstractNumId w:val="12"/>
  </w:num>
  <w:num w:numId="35">
    <w:abstractNumId w:val="13"/>
  </w:num>
  <w:num w:numId="36">
    <w:abstractNumId w:val="31"/>
  </w:num>
  <w:num w:numId="37">
    <w:abstractNumId w:val="23"/>
  </w:num>
  <w:num w:numId="38">
    <w:abstractNumId w:val="35"/>
  </w:num>
  <w:num w:numId="39">
    <w:abstractNumId w:val="38"/>
  </w:num>
  <w:num w:numId="40">
    <w:abstractNumId w:val="9"/>
  </w:num>
  <w:num w:numId="41">
    <w:abstractNumId w:val="1"/>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056B02"/>
    <w:rsid w:val="00010E9D"/>
    <w:rsid w:val="00030197"/>
    <w:rsid w:val="00031C49"/>
    <w:rsid w:val="00033DC8"/>
    <w:rsid w:val="00034F2E"/>
    <w:rsid w:val="000354C9"/>
    <w:rsid w:val="00054F60"/>
    <w:rsid w:val="00056B02"/>
    <w:rsid w:val="00063566"/>
    <w:rsid w:val="00064304"/>
    <w:rsid w:val="00083EDD"/>
    <w:rsid w:val="000A1FA8"/>
    <w:rsid w:val="000B0994"/>
    <w:rsid w:val="000B34F5"/>
    <w:rsid w:val="000B7CA7"/>
    <w:rsid w:val="00112D03"/>
    <w:rsid w:val="0014419E"/>
    <w:rsid w:val="0015678B"/>
    <w:rsid w:val="00167D07"/>
    <w:rsid w:val="0017353E"/>
    <w:rsid w:val="001760CA"/>
    <w:rsid w:val="001902E5"/>
    <w:rsid w:val="00196A10"/>
    <w:rsid w:val="001C5335"/>
    <w:rsid w:val="001D5084"/>
    <w:rsid w:val="001E2BB6"/>
    <w:rsid w:val="002264E9"/>
    <w:rsid w:val="002309F6"/>
    <w:rsid w:val="002461D7"/>
    <w:rsid w:val="002529B5"/>
    <w:rsid w:val="002535B2"/>
    <w:rsid w:val="002C6117"/>
    <w:rsid w:val="002C6B2F"/>
    <w:rsid w:val="002E608D"/>
    <w:rsid w:val="002F6561"/>
    <w:rsid w:val="003637F8"/>
    <w:rsid w:val="003810EB"/>
    <w:rsid w:val="003919FC"/>
    <w:rsid w:val="00392127"/>
    <w:rsid w:val="00394416"/>
    <w:rsid w:val="003957E8"/>
    <w:rsid w:val="003967BE"/>
    <w:rsid w:val="003B1510"/>
    <w:rsid w:val="003D361A"/>
    <w:rsid w:val="00411B1E"/>
    <w:rsid w:val="00425C5D"/>
    <w:rsid w:val="00443A32"/>
    <w:rsid w:val="00443DC9"/>
    <w:rsid w:val="00445E34"/>
    <w:rsid w:val="005209BE"/>
    <w:rsid w:val="00523677"/>
    <w:rsid w:val="00530329"/>
    <w:rsid w:val="00541B7B"/>
    <w:rsid w:val="00555022"/>
    <w:rsid w:val="00574A34"/>
    <w:rsid w:val="00594DB3"/>
    <w:rsid w:val="00597CE2"/>
    <w:rsid w:val="005D2527"/>
    <w:rsid w:val="00613FA7"/>
    <w:rsid w:val="00616FAD"/>
    <w:rsid w:val="00622204"/>
    <w:rsid w:val="00643E9E"/>
    <w:rsid w:val="00650A5A"/>
    <w:rsid w:val="006656EF"/>
    <w:rsid w:val="00670AC6"/>
    <w:rsid w:val="00676498"/>
    <w:rsid w:val="006A59A5"/>
    <w:rsid w:val="006C1547"/>
    <w:rsid w:val="006F1524"/>
    <w:rsid w:val="006F33E4"/>
    <w:rsid w:val="00735BEA"/>
    <w:rsid w:val="007420C4"/>
    <w:rsid w:val="007435CF"/>
    <w:rsid w:val="007615D8"/>
    <w:rsid w:val="007973B9"/>
    <w:rsid w:val="0079769C"/>
    <w:rsid w:val="007A2D2A"/>
    <w:rsid w:val="00827C31"/>
    <w:rsid w:val="00853554"/>
    <w:rsid w:val="00856F8E"/>
    <w:rsid w:val="008C0B8C"/>
    <w:rsid w:val="008C686F"/>
    <w:rsid w:val="00926592"/>
    <w:rsid w:val="00932F1E"/>
    <w:rsid w:val="009375D8"/>
    <w:rsid w:val="00964AEC"/>
    <w:rsid w:val="0099075A"/>
    <w:rsid w:val="009C1EED"/>
    <w:rsid w:val="00A04916"/>
    <w:rsid w:val="00A075D1"/>
    <w:rsid w:val="00A10D0F"/>
    <w:rsid w:val="00A13087"/>
    <w:rsid w:val="00A2194E"/>
    <w:rsid w:val="00A47A3C"/>
    <w:rsid w:val="00A922B2"/>
    <w:rsid w:val="00A93DAD"/>
    <w:rsid w:val="00AE1574"/>
    <w:rsid w:val="00AE7CD3"/>
    <w:rsid w:val="00AF7A15"/>
    <w:rsid w:val="00B267C7"/>
    <w:rsid w:val="00B90734"/>
    <w:rsid w:val="00BE7833"/>
    <w:rsid w:val="00C30D6F"/>
    <w:rsid w:val="00C7027F"/>
    <w:rsid w:val="00C8194F"/>
    <w:rsid w:val="00C92FA6"/>
    <w:rsid w:val="00CA6409"/>
    <w:rsid w:val="00CB4551"/>
    <w:rsid w:val="00D20077"/>
    <w:rsid w:val="00D35FBD"/>
    <w:rsid w:val="00D41F5E"/>
    <w:rsid w:val="00D4454B"/>
    <w:rsid w:val="00D45C17"/>
    <w:rsid w:val="00D64596"/>
    <w:rsid w:val="00D87AB1"/>
    <w:rsid w:val="00DD0245"/>
    <w:rsid w:val="00DD63A7"/>
    <w:rsid w:val="00DE0001"/>
    <w:rsid w:val="00DF3FE4"/>
    <w:rsid w:val="00E51356"/>
    <w:rsid w:val="00E643CE"/>
    <w:rsid w:val="00EA732A"/>
    <w:rsid w:val="00EB2B4A"/>
    <w:rsid w:val="00EB4C8A"/>
    <w:rsid w:val="00EC0FDA"/>
    <w:rsid w:val="00EC34AF"/>
    <w:rsid w:val="00EE3874"/>
    <w:rsid w:val="00EF1431"/>
    <w:rsid w:val="00F01DCE"/>
    <w:rsid w:val="00F45B58"/>
    <w:rsid w:val="00F87D25"/>
    <w:rsid w:val="00F91613"/>
    <w:rsid w:val="00FC24FE"/>
    <w:rsid w:val="00FD5DA4"/>
    <w:rsid w:val="00FE4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056B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56B02"/>
    <w:pPr>
      <w:keepNext/>
      <w:outlineLvl w:val="0"/>
    </w:pPr>
    <w:rPr>
      <w:sz w:val="24"/>
    </w:rPr>
  </w:style>
  <w:style w:type="paragraph" w:styleId="3">
    <w:name w:val="heading 3"/>
    <w:basedOn w:val="a"/>
    <w:next w:val="a"/>
    <w:link w:val="30"/>
    <w:uiPriority w:val="99"/>
    <w:qFormat/>
    <w:rsid w:val="00056B02"/>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056B02"/>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056B02"/>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6B0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056B02"/>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056B02"/>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9"/>
    <w:rsid w:val="00056B02"/>
    <w:rPr>
      <w:rFonts w:ascii="Cambria" w:eastAsia="Times New Roman" w:hAnsi="Cambria" w:cs="Times New Roman"/>
      <w:i/>
      <w:iCs/>
      <w:color w:val="243F60"/>
      <w:sz w:val="20"/>
      <w:szCs w:val="20"/>
      <w:lang w:eastAsia="ru-RU"/>
    </w:rPr>
  </w:style>
  <w:style w:type="paragraph" w:styleId="a3">
    <w:name w:val="Title"/>
    <w:basedOn w:val="a"/>
    <w:link w:val="a4"/>
    <w:uiPriority w:val="99"/>
    <w:qFormat/>
    <w:rsid w:val="00056B02"/>
    <w:pPr>
      <w:jc w:val="center"/>
    </w:pPr>
    <w:rPr>
      <w:sz w:val="28"/>
      <w:lang w:val="uk-UA"/>
    </w:rPr>
  </w:style>
  <w:style w:type="character" w:customStyle="1" w:styleId="a4">
    <w:name w:val="Название Знак"/>
    <w:basedOn w:val="a0"/>
    <w:link w:val="a3"/>
    <w:uiPriority w:val="99"/>
    <w:rsid w:val="00056B02"/>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056B02"/>
    <w:pPr>
      <w:ind w:firstLine="426"/>
      <w:jc w:val="both"/>
    </w:pPr>
    <w:rPr>
      <w:sz w:val="28"/>
      <w:lang w:val="uk-UA"/>
    </w:rPr>
  </w:style>
  <w:style w:type="character" w:customStyle="1" w:styleId="a6">
    <w:name w:val="Основной текст с отступом Знак"/>
    <w:basedOn w:val="a0"/>
    <w:link w:val="a5"/>
    <w:uiPriority w:val="99"/>
    <w:rsid w:val="00056B02"/>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056B02"/>
    <w:pPr>
      <w:ind w:left="720"/>
      <w:contextualSpacing/>
    </w:pPr>
  </w:style>
  <w:style w:type="paragraph" w:styleId="a8">
    <w:name w:val="Normal (Web)"/>
    <w:basedOn w:val="a"/>
    <w:rsid w:val="00056B02"/>
    <w:pPr>
      <w:spacing w:before="100" w:beforeAutospacing="1" w:after="100" w:afterAutospacing="1"/>
    </w:pPr>
    <w:rPr>
      <w:sz w:val="24"/>
      <w:szCs w:val="24"/>
    </w:rPr>
  </w:style>
  <w:style w:type="paragraph" w:styleId="a9">
    <w:name w:val="header"/>
    <w:basedOn w:val="a"/>
    <w:link w:val="aa"/>
    <w:uiPriority w:val="99"/>
    <w:unhideWhenUsed/>
    <w:rsid w:val="00056B02"/>
    <w:pPr>
      <w:tabs>
        <w:tab w:val="center" w:pos="4677"/>
        <w:tab w:val="right" w:pos="9355"/>
      </w:tabs>
    </w:pPr>
    <w:rPr>
      <w:sz w:val="24"/>
      <w:szCs w:val="24"/>
    </w:rPr>
  </w:style>
  <w:style w:type="character" w:customStyle="1" w:styleId="aa">
    <w:name w:val="Верхний колонтитул Знак"/>
    <w:basedOn w:val="a0"/>
    <w:link w:val="a9"/>
    <w:uiPriority w:val="99"/>
    <w:rsid w:val="00056B02"/>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056B02"/>
    <w:rPr>
      <w:rFonts w:ascii="Courier New" w:eastAsia="Times New Roman" w:hAnsi="Courier New" w:cs="Courier New"/>
      <w:sz w:val="20"/>
      <w:szCs w:val="20"/>
      <w:lang w:val="uk-UA" w:eastAsia="uk-UA"/>
    </w:rPr>
  </w:style>
  <w:style w:type="table" w:styleId="ab">
    <w:name w:val="Table Grid"/>
    <w:basedOn w:val="a1"/>
    <w:uiPriority w:val="99"/>
    <w:rsid w:val="00056B0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
    <w:name w:val="Обычный8"/>
    <w:uiPriority w:val="99"/>
    <w:rsid w:val="00056B02"/>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056B02"/>
    <w:rPr>
      <w:rFonts w:ascii="Times New Roman" w:hAnsi="Times New Roman" w:cs="Times New Roman" w:hint="default"/>
      <w:color w:val="0000FF"/>
      <w:u w:val="single"/>
    </w:rPr>
  </w:style>
  <w:style w:type="character" w:customStyle="1" w:styleId="xfmc1">
    <w:name w:val="xfmc1"/>
    <w:basedOn w:val="a0"/>
    <w:uiPriority w:val="99"/>
    <w:rsid w:val="00056B02"/>
  </w:style>
  <w:style w:type="paragraph" w:styleId="ad">
    <w:name w:val="footer"/>
    <w:basedOn w:val="a"/>
    <w:link w:val="ae"/>
    <w:uiPriority w:val="99"/>
    <w:unhideWhenUsed/>
    <w:rsid w:val="00056B02"/>
    <w:pPr>
      <w:tabs>
        <w:tab w:val="center" w:pos="4677"/>
        <w:tab w:val="right" w:pos="9355"/>
      </w:tabs>
    </w:pPr>
  </w:style>
  <w:style w:type="character" w:customStyle="1" w:styleId="ae">
    <w:name w:val="Нижний колонтитул Знак"/>
    <w:basedOn w:val="a0"/>
    <w:link w:val="ad"/>
    <w:uiPriority w:val="99"/>
    <w:rsid w:val="00056B02"/>
    <w:rPr>
      <w:rFonts w:ascii="Times New Roman" w:eastAsia="Times New Roman" w:hAnsi="Times New Roman" w:cs="Times New Roman"/>
      <w:sz w:val="20"/>
      <w:szCs w:val="20"/>
      <w:lang w:eastAsia="ru-RU"/>
    </w:rPr>
  </w:style>
  <w:style w:type="paragraph" w:customStyle="1" w:styleId="11">
    <w:name w:val="Абзац списка1"/>
    <w:basedOn w:val="a"/>
    <w:rsid w:val="00056B02"/>
    <w:pPr>
      <w:ind w:left="720"/>
      <w:contextualSpacing/>
    </w:pPr>
    <w:rPr>
      <w:rFonts w:eastAsia="Calibri"/>
    </w:rPr>
  </w:style>
  <w:style w:type="paragraph" w:customStyle="1" w:styleId="rvps2">
    <w:name w:val="rvps2"/>
    <w:basedOn w:val="a"/>
    <w:rsid w:val="00056B02"/>
    <w:pPr>
      <w:jc w:val="center"/>
    </w:pPr>
    <w:rPr>
      <w:sz w:val="24"/>
      <w:szCs w:val="24"/>
    </w:rPr>
  </w:style>
  <w:style w:type="paragraph" w:customStyle="1" w:styleId="2">
    <w:name w:val="Абзац списка2"/>
    <w:basedOn w:val="a"/>
    <w:rsid w:val="00056B02"/>
    <w:pPr>
      <w:ind w:left="720"/>
      <w:contextualSpacing/>
    </w:pPr>
    <w:rPr>
      <w:rFonts w:eastAsia="Calibri"/>
    </w:rPr>
  </w:style>
  <w:style w:type="paragraph" w:styleId="31">
    <w:name w:val="Body Text Indent 3"/>
    <w:basedOn w:val="a"/>
    <w:link w:val="32"/>
    <w:uiPriority w:val="99"/>
    <w:rsid w:val="00056B02"/>
    <w:pPr>
      <w:spacing w:after="120"/>
      <w:ind w:left="283"/>
    </w:pPr>
    <w:rPr>
      <w:sz w:val="16"/>
      <w:szCs w:val="16"/>
    </w:rPr>
  </w:style>
  <w:style w:type="character" w:customStyle="1" w:styleId="32">
    <w:name w:val="Основной текст с отступом 3 Знак"/>
    <w:basedOn w:val="a0"/>
    <w:link w:val="31"/>
    <w:uiPriority w:val="99"/>
    <w:rsid w:val="00056B02"/>
    <w:rPr>
      <w:rFonts w:ascii="Times New Roman" w:eastAsia="Times New Roman" w:hAnsi="Times New Roman" w:cs="Times New Roman"/>
      <w:sz w:val="16"/>
      <w:szCs w:val="16"/>
      <w:lang w:eastAsia="ru-RU"/>
    </w:rPr>
  </w:style>
  <w:style w:type="paragraph" w:styleId="af">
    <w:name w:val="Plain Text"/>
    <w:basedOn w:val="a"/>
    <w:link w:val="af0"/>
    <w:uiPriority w:val="99"/>
    <w:rsid w:val="00056B02"/>
    <w:rPr>
      <w:rFonts w:ascii="Courier New" w:hAnsi="Courier New"/>
    </w:rPr>
  </w:style>
  <w:style w:type="character" w:customStyle="1" w:styleId="af0">
    <w:name w:val="Текст Знак"/>
    <w:basedOn w:val="a0"/>
    <w:link w:val="af"/>
    <w:uiPriority w:val="99"/>
    <w:rsid w:val="00056B02"/>
    <w:rPr>
      <w:rFonts w:ascii="Courier New" w:eastAsia="Times New Roman" w:hAnsi="Courier New" w:cs="Times New Roman"/>
      <w:sz w:val="20"/>
      <w:szCs w:val="20"/>
      <w:lang w:eastAsia="ru-RU"/>
    </w:rPr>
  </w:style>
  <w:style w:type="character" w:customStyle="1" w:styleId="apple-converted-space">
    <w:name w:val="apple-converted-space"/>
    <w:uiPriority w:val="99"/>
    <w:rsid w:val="00056B02"/>
    <w:rPr>
      <w:rFonts w:ascii="Times New Roman" w:hAnsi="Times New Roman" w:cs="Times New Roman"/>
    </w:rPr>
  </w:style>
  <w:style w:type="character" w:styleId="af1">
    <w:name w:val="Book Title"/>
    <w:uiPriority w:val="99"/>
    <w:qFormat/>
    <w:rsid w:val="00056B02"/>
    <w:rPr>
      <w:rFonts w:cs="Times New Roman"/>
      <w:b/>
      <w:bCs/>
      <w:smallCaps/>
      <w:spacing w:val="5"/>
    </w:rPr>
  </w:style>
  <w:style w:type="paragraph" w:customStyle="1" w:styleId="caaieiaie71">
    <w:name w:val="caaieiaie 71"/>
    <w:basedOn w:val="a"/>
    <w:next w:val="a"/>
    <w:uiPriority w:val="99"/>
    <w:rsid w:val="00056B02"/>
    <w:pPr>
      <w:keepNext/>
      <w:widowControl w:val="0"/>
      <w:spacing w:line="300" w:lineRule="exact"/>
      <w:jc w:val="center"/>
    </w:pPr>
    <w:rPr>
      <w:b/>
      <w:sz w:val="28"/>
    </w:rPr>
  </w:style>
  <w:style w:type="paragraph" w:customStyle="1" w:styleId="BodyText31">
    <w:name w:val="Body Text 31"/>
    <w:basedOn w:val="a"/>
    <w:uiPriority w:val="99"/>
    <w:rsid w:val="00056B02"/>
    <w:pPr>
      <w:widowControl w:val="0"/>
      <w:jc w:val="center"/>
    </w:pPr>
    <w:rPr>
      <w:sz w:val="22"/>
    </w:rPr>
  </w:style>
  <w:style w:type="paragraph" w:customStyle="1" w:styleId="font5">
    <w:name w:val="font5"/>
    <w:basedOn w:val="a"/>
    <w:uiPriority w:val="99"/>
    <w:rsid w:val="00056B02"/>
    <w:pPr>
      <w:widowControl w:val="0"/>
      <w:spacing w:before="100" w:after="100"/>
    </w:pPr>
    <w:rPr>
      <w:rFonts w:ascii="Courier New" w:hAnsi="Courier New" w:cs="Courier New"/>
      <w:sz w:val="22"/>
      <w:szCs w:val="22"/>
    </w:rPr>
  </w:style>
  <w:style w:type="paragraph" w:customStyle="1" w:styleId="12">
    <w:name w:val="Обычный1"/>
    <w:uiPriority w:val="99"/>
    <w:rsid w:val="00056B02"/>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rsid w:val="00056B02"/>
    <w:pPr>
      <w:spacing w:after="120"/>
    </w:pPr>
    <w:rPr>
      <w:sz w:val="16"/>
      <w:szCs w:val="16"/>
    </w:rPr>
  </w:style>
  <w:style w:type="character" w:customStyle="1" w:styleId="34">
    <w:name w:val="Основной текст 3 Знак"/>
    <w:basedOn w:val="a0"/>
    <w:link w:val="33"/>
    <w:uiPriority w:val="99"/>
    <w:semiHidden/>
    <w:rsid w:val="00056B02"/>
    <w:rPr>
      <w:rFonts w:ascii="Times New Roman" w:eastAsia="Times New Roman" w:hAnsi="Times New Roman" w:cs="Times New Roman"/>
      <w:sz w:val="16"/>
      <w:szCs w:val="16"/>
      <w:lang w:eastAsia="ru-RU"/>
    </w:rPr>
  </w:style>
  <w:style w:type="paragraph" w:customStyle="1" w:styleId="BodyText21">
    <w:name w:val="Body Text 21"/>
    <w:basedOn w:val="a"/>
    <w:uiPriority w:val="99"/>
    <w:rsid w:val="00056B02"/>
    <w:pPr>
      <w:widowControl w:val="0"/>
      <w:spacing w:before="120" w:line="216" w:lineRule="auto"/>
      <w:jc w:val="center"/>
    </w:pPr>
    <w:rPr>
      <w:sz w:val="24"/>
    </w:rPr>
  </w:style>
  <w:style w:type="paragraph" w:customStyle="1" w:styleId="xl27">
    <w:name w:val="xl27"/>
    <w:basedOn w:val="a"/>
    <w:uiPriority w:val="99"/>
    <w:rsid w:val="00056B02"/>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056B02"/>
    <w:rPr>
      <w:rFonts w:ascii="Verdana" w:hAnsi="Verdana" w:cs="Verdana"/>
      <w:lang w:val="en-US" w:eastAsia="en-US"/>
    </w:rPr>
  </w:style>
  <w:style w:type="paragraph" w:styleId="af2">
    <w:name w:val="Balloon Text"/>
    <w:basedOn w:val="a"/>
    <w:link w:val="af3"/>
    <w:uiPriority w:val="99"/>
    <w:semiHidden/>
    <w:rsid w:val="00056B02"/>
    <w:rPr>
      <w:rFonts w:ascii="Tahoma" w:hAnsi="Tahoma" w:cs="Tahoma"/>
      <w:sz w:val="16"/>
      <w:szCs w:val="16"/>
    </w:rPr>
  </w:style>
  <w:style w:type="character" w:customStyle="1" w:styleId="af3">
    <w:name w:val="Текст выноски Знак"/>
    <w:basedOn w:val="a0"/>
    <w:link w:val="af2"/>
    <w:uiPriority w:val="99"/>
    <w:semiHidden/>
    <w:rsid w:val="00056B02"/>
    <w:rPr>
      <w:rFonts w:ascii="Tahoma" w:eastAsia="Times New Roman" w:hAnsi="Tahoma" w:cs="Tahoma"/>
      <w:sz w:val="16"/>
      <w:szCs w:val="16"/>
      <w:lang w:eastAsia="ru-RU"/>
    </w:rPr>
  </w:style>
  <w:style w:type="paragraph" w:styleId="af4">
    <w:name w:val="Body Text"/>
    <w:basedOn w:val="a"/>
    <w:link w:val="af5"/>
    <w:uiPriority w:val="99"/>
    <w:semiHidden/>
    <w:rsid w:val="00056B02"/>
    <w:pPr>
      <w:spacing w:after="120"/>
    </w:pPr>
  </w:style>
  <w:style w:type="character" w:customStyle="1" w:styleId="af5">
    <w:name w:val="Основной текст Знак"/>
    <w:basedOn w:val="a0"/>
    <w:link w:val="af4"/>
    <w:uiPriority w:val="99"/>
    <w:semiHidden/>
    <w:rsid w:val="00056B02"/>
    <w:rPr>
      <w:rFonts w:ascii="Times New Roman" w:eastAsia="Times New Roman" w:hAnsi="Times New Roman" w:cs="Times New Roman"/>
      <w:sz w:val="20"/>
      <w:szCs w:val="20"/>
      <w:lang w:eastAsia="ru-RU"/>
    </w:rPr>
  </w:style>
  <w:style w:type="paragraph" w:customStyle="1" w:styleId="20">
    <w:name w:val="Обычный2"/>
    <w:uiPriority w:val="99"/>
    <w:rsid w:val="00056B02"/>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056B02"/>
    <w:pPr>
      <w:spacing w:after="0" w:line="240" w:lineRule="auto"/>
    </w:pPr>
    <w:rPr>
      <w:rFonts w:ascii="Times New Roman" w:eastAsia="Times New Roman" w:hAnsi="Times New Roman" w:cs="Times New Roman"/>
      <w:sz w:val="20"/>
      <w:szCs w:val="20"/>
      <w:lang w:eastAsia="ru-RU"/>
    </w:rPr>
  </w:style>
  <w:style w:type="character" w:styleId="af6">
    <w:name w:val="Strong"/>
    <w:uiPriority w:val="99"/>
    <w:qFormat/>
    <w:rsid w:val="00056B02"/>
    <w:rPr>
      <w:rFonts w:ascii="Times New Roman" w:hAnsi="Times New Roman" w:cs="Times New Roman"/>
      <w:b/>
      <w:bCs/>
    </w:rPr>
  </w:style>
  <w:style w:type="character" w:styleId="af7">
    <w:name w:val="line number"/>
    <w:uiPriority w:val="99"/>
    <w:semiHidden/>
    <w:rsid w:val="00056B02"/>
    <w:rPr>
      <w:rFonts w:cs="Times New Roman"/>
    </w:rPr>
  </w:style>
  <w:style w:type="character" w:customStyle="1" w:styleId="xfm14773489">
    <w:name w:val="xfm_14773489"/>
    <w:basedOn w:val="a0"/>
    <w:rsid w:val="00056B02"/>
  </w:style>
  <w:style w:type="character" w:styleId="af8">
    <w:name w:val="Emphasis"/>
    <w:basedOn w:val="a0"/>
    <w:uiPriority w:val="20"/>
    <w:qFormat/>
    <w:rsid w:val="00056B02"/>
    <w:rPr>
      <w:i/>
      <w:iCs/>
    </w:rPr>
  </w:style>
  <w:style w:type="character" w:customStyle="1" w:styleId="oi732d6d">
    <w:name w:val="oi732d6d"/>
    <w:basedOn w:val="a0"/>
    <w:rsid w:val="00EF1431"/>
  </w:style>
</w:styles>
</file>

<file path=word/webSettings.xml><?xml version="1.0" encoding="utf-8"?>
<w:webSettings xmlns:r="http://schemas.openxmlformats.org/officeDocument/2006/relationships" xmlns:w="http://schemas.openxmlformats.org/wordprocessingml/2006/main">
  <w:divs>
    <w:div w:id="752898501">
      <w:bodyDiv w:val="1"/>
      <w:marLeft w:val="0"/>
      <w:marRight w:val="0"/>
      <w:marTop w:val="0"/>
      <w:marBottom w:val="0"/>
      <w:divBdr>
        <w:top w:val="none" w:sz="0" w:space="0" w:color="auto"/>
        <w:left w:val="none" w:sz="0" w:space="0" w:color="auto"/>
        <w:bottom w:val="none" w:sz="0" w:space="0" w:color="auto"/>
        <w:right w:val="none" w:sz="0" w:space="0" w:color="auto"/>
      </w:divBdr>
    </w:div>
    <w:div w:id="1715302786">
      <w:bodyDiv w:val="1"/>
      <w:marLeft w:val="0"/>
      <w:marRight w:val="0"/>
      <w:marTop w:val="0"/>
      <w:marBottom w:val="0"/>
      <w:divBdr>
        <w:top w:val="none" w:sz="0" w:space="0" w:color="auto"/>
        <w:left w:val="none" w:sz="0" w:space="0" w:color="auto"/>
        <w:bottom w:val="none" w:sz="0" w:space="0" w:color="auto"/>
        <w:right w:val="none" w:sz="0" w:space="0" w:color="auto"/>
      </w:divBdr>
    </w:div>
    <w:div w:id="1871994953">
      <w:bodyDiv w:val="1"/>
      <w:marLeft w:val="0"/>
      <w:marRight w:val="0"/>
      <w:marTop w:val="0"/>
      <w:marBottom w:val="0"/>
      <w:divBdr>
        <w:top w:val="none" w:sz="0" w:space="0" w:color="auto"/>
        <w:left w:val="none" w:sz="0" w:space="0" w:color="auto"/>
        <w:bottom w:val="none" w:sz="0" w:space="0" w:color="auto"/>
        <w:right w:val="none" w:sz="0" w:space="0" w:color="auto"/>
      </w:divBdr>
    </w:div>
    <w:div w:id="1949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74E8-A9D8-4704-AA75-F3D350D9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27</cp:revision>
  <cp:lastPrinted>2020-07-13T11:26:00Z</cp:lastPrinted>
  <dcterms:created xsi:type="dcterms:W3CDTF">2020-07-23T08:21:00Z</dcterms:created>
  <dcterms:modified xsi:type="dcterms:W3CDTF">2020-08-06T12:38:00Z</dcterms:modified>
</cp:coreProperties>
</file>